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06045" w14:textId="26E23C69" w:rsidR="00DF0E47" w:rsidRPr="000A1930" w:rsidRDefault="000A1930" w:rsidP="00D41FDB">
      <w:pPr>
        <w:pStyle w:val="Heading1"/>
        <w:spacing w:before="360"/>
        <w:ind w:left="0" w:firstLine="0"/>
        <w:jc w:val="center"/>
        <w:rPr>
          <w:lang w:val="fr-CH"/>
        </w:rPr>
      </w:pPr>
      <w:r w:rsidRPr="000A1930">
        <w:rPr>
          <w:lang w:val="fr-FR"/>
        </w:rPr>
        <w:t>Règles relatives à la prorogation du délai réglementaire applicable à la mise en service d'assignations de fréquence à un satellite</w:t>
      </w:r>
    </w:p>
    <w:p w14:paraId="46AF1E1F" w14:textId="77777777" w:rsidR="000A1930" w:rsidRPr="000A1930" w:rsidRDefault="000A1930" w:rsidP="00633320">
      <w:pPr>
        <w:spacing w:before="120"/>
        <w:rPr>
          <w:lang w:val="fr-CH"/>
        </w:rPr>
      </w:pPr>
      <w:r w:rsidRPr="000A1930">
        <w:rPr>
          <w:lang w:val="fr-CH"/>
        </w:rPr>
        <w:t>La CMR-12 a pris la décision suivante concernant la prorogation du délai réglementaire applicable à</w:t>
      </w:r>
      <w:r w:rsidRPr="000A1930">
        <w:rPr>
          <w:sz w:val="28"/>
          <w:szCs w:val="28"/>
          <w:lang w:val="fr-CH"/>
        </w:rPr>
        <w:t xml:space="preserve"> </w:t>
      </w:r>
      <w:r w:rsidRPr="000A1930">
        <w:rPr>
          <w:lang w:val="fr-CH"/>
        </w:rPr>
        <w:t>la mise en service d'assignations de fréquence à un satellite, voir le paragraphe 3.20 du procès</w:t>
      </w:r>
      <w:r w:rsidRPr="000A1930">
        <w:rPr>
          <w:lang w:val="fr-CH"/>
        </w:rPr>
        <w:noBreakHyphen/>
        <w:t>verbal de la 13ème séance plénière, Doc. CMR12/</w:t>
      </w:r>
      <w:proofErr w:type="gramStart"/>
      <w:r w:rsidRPr="000A1930">
        <w:rPr>
          <w:lang w:val="fr-CH"/>
        </w:rPr>
        <w:t>554:</w:t>
      </w:r>
      <w:proofErr w:type="gramEnd"/>
    </w:p>
    <w:p w14:paraId="4723707D" w14:textId="77777777" w:rsidR="000A1930" w:rsidRPr="000A1930" w:rsidRDefault="000A1930" w:rsidP="00633320">
      <w:pPr>
        <w:spacing w:before="120"/>
        <w:rPr>
          <w:bCs/>
          <w:lang w:val="fr-CH"/>
        </w:rPr>
      </w:pPr>
      <w:r w:rsidRPr="000A1930">
        <w:rPr>
          <w:bCs/>
          <w:lang w:val="fr-CH"/>
        </w:rPr>
        <w:t>«3.20</w:t>
      </w:r>
      <w:r w:rsidRPr="000A1930">
        <w:rPr>
          <w:bCs/>
          <w:lang w:val="fr-CH"/>
        </w:rPr>
        <w:tab/>
        <w:t xml:space="preserve">Le </w:t>
      </w:r>
      <w:r w:rsidRPr="000A1930">
        <w:rPr>
          <w:b/>
          <w:lang w:val="fr-CH"/>
        </w:rPr>
        <w:t>Président de la Commission 5</w:t>
      </w:r>
      <w:r w:rsidRPr="000A1930">
        <w:rPr>
          <w:bCs/>
          <w:lang w:val="fr-CH"/>
        </w:rPr>
        <w:t xml:space="preserve"> présente le Document 525 et indique que ce document porte sur quatre questions relatives au point 7 de l'ordre du jour et sur une question concernant le point 8.1.2 de l'ordre du jour. La première question relative au point 7 de l'ordre du jour concerne la prorogation du délai réglementaire de mise en service d'assignations de fréquence à un satellite en raison de retards de lancement indépendants de la volonté de l'administration. La Commission 5 a examiné certaines propositions visant à élaborer une nouvelle Résolution de la CMR, qui permettrait d'octroyer des prorogations limitées et conditionnelles dans le cas de retards dus à l'embarquement d'un autre satellite sur le même lanceur et d'étendre ces prorogations en cas de force majeure. Cependant, étant donné que l'élaboration d'une Résolution suscite des préoccupations et que ces cas peuvent être soumis au Comité du Règlement des radiocommunications ou à de futures conférences au cas par cas, la Commission n'a pas poursuivi l'examen de la question.</w:t>
      </w:r>
      <w:r w:rsidRPr="000A1930">
        <w:rPr>
          <w:lang w:val="fr-CH"/>
        </w:rPr>
        <w:t xml:space="preserve"> …»</w:t>
      </w:r>
    </w:p>
    <w:p w14:paraId="359F5476" w14:textId="5230DBFA" w:rsidR="000A1930" w:rsidRPr="000A1930" w:rsidRDefault="000A1930" w:rsidP="00633320">
      <w:pPr>
        <w:spacing w:before="120"/>
        <w:rPr>
          <w:lang w:val="fr-CH"/>
        </w:rPr>
      </w:pPr>
      <w:r w:rsidRPr="000A1930">
        <w:rPr>
          <w:lang w:val="fr-CH"/>
        </w:rPr>
        <w:t>La CMR-15 a pris la décision suivante concernant la prorogation du délai réglementaire applicable à la mise en service d'assignations de fréquence à un satellite, voir le paragraphe</w:t>
      </w:r>
      <w:r w:rsidR="00D41FDB">
        <w:rPr>
          <w:lang w:val="fr-CH"/>
        </w:rPr>
        <w:t> </w:t>
      </w:r>
      <w:r w:rsidRPr="000A1930">
        <w:rPr>
          <w:lang w:val="fr-CH"/>
        </w:rPr>
        <w:t>3.19 du procès</w:t>
      </w:r>
      <w:r w:rsidRPr="000A1930">
        <w:rPr>
          <w:lang w:val="fr-CH"/>
        </w:rPr>
        <w:noBreakHyphen/>
        <w:t>verbal de la 7ème séance plénière, Doc. CMR15/</w:t>
      </w:r>
      <w:proofErr w:type="gramStart"/>
      <w:r w:rsidRPr="000A1930">
        <w:rPr>
          <w:lang w:val="fr-CH"/>
        </w:rPr>
        <w:t>504:</w:t>
      </w:r>
      <w:proofErr w:type="gramEnd"/>
    </w:p>
    <w:p w14:paraId="3C77FFAB" w14:textId="77777777" w:rsidR="000A1930" w:rsidRPr="000A1930" w:rsidRDefault="000A1930" w:rsidP="00633320">
      <w:pPr>
        <w:spacing w:before="120"/>
        <w:rPr>
          <w:lang w:val="fr-CH"/>
        </w:rPr>
      </w:pPr>
      <w:proofErr w:type="gramStart"/>
      <w:r w:rsidRPr="000A1930">
        <w:rPr>
          <w:lang w:val="fr-CH"/>
        </w:rPr>
        <w:t>«3.19</w:t>
      </w:r>
      <w:proofErr w:type="gramEnd"/>
      <w:r w:rsidRPr="000A1930">
        <w:rPr>
          <w:lang w:val="fr-CH"/>
        </w:rPr>
        <w:t xml:space="preserve"> (…) Après examen de la question de l'échec de lancement d'un satellite, la CMR-15 confirme la décision prise par la CMR-12 (à sa treizième séance) selon laquelle le Comité peut examiner les demandes de prorogation d'un délai sur la base de retards dus à l'embarquement d'un autre satellite sur le même lanceur ou en cas de force majeure, en tenant compte des règles et des pratiques applicables au niveau international, pour autant que les prorogations soient</w:t>
      </w:r>
      <w:proofErr w:type="gramStart"/>
      <w:r w:rsidRPr="000A1930">
        <w:rPr>
          <w:lang w:val="fr-CH"/>
        </w:rPr>
        <w:t xml:space="preserve"> «limitées</w:t>
      </w:r>
      <w:proofErr w:type="gramEnd"/>
      <w:r w:rsidRPr="000A1930">
        <w:rPr>
          <w:lang w:val="fr-CH"/>
        </w:rPr>
        <w:t xml:space="preserve"> et </w:t>
      </w:r>
      <w:proofErr w:type="gramStart"/>
      <w:r w:rsidRPr="000A1930">
        <w:rPr>
          <w:lang w:val="fr-CH"/>
        </w:rPr>
        <w:t>conditionnelles».»</w:t>
      </w:r>
      <w:proofErr w:type="gramEnd"/>
    </w:p>
    <w:p w14:paraId="629823ED" w14:textId="77777777" w:rsidR="000A1930" w:rsidRPr="000A1930" w:rsidRDefault="000A1930" w:rsidP="00633320">
      <w:pPr>
        <w:spacing w:before="120"/>
        <w:rPr>
          <w:lang w:val="fr-CH"/>
        </w:rPr>
      </w:pPr>
      <w:r w:rsidRPr="000A1930">
        <w:rPr>
          <w:lang w:val="fr-CH"/>
        </w:rPr>
        <w:t>La CMR-19 a pris la décision suivante concernant les cas de retards dus à l'embarquement d'un autre satellite sur le même lanceur et l'utilisation de systèmes de propulsion électriques, voir le paragraphe 3.16 du procès-verbal de la 8ème séance plénière, Doc. CMR19/</w:t>
      </w:r>
      <w:proofErr w:type="gramStart"/>
      <w:r w:rsidRPr="000A1930">
        <w:rPr>
          <w:lang w:val="fr-CH"/>
        </w:rPr>
        <w:t>569:</w:t>
      </w:r>
      <w:proofErr w:type="gramEnd"/>
    </w:p>
    <w:p w14:paraId="01A72F04" w14:textId="77777777" w:rsidR="000A1930" w:rsidRPr="000A1930" w:rsidRDefault="000A1930" w:rsidP="00633320">
      <w:pPr>
        <w:spacing w:before="120"/>
        <w:rPr>
          <w:lang w:val="fr-CH"/>
        </w:rPr>
      </w:pPr>
      <w:proofErr w:type="gramStart"/>
      <w:r w:rsidRPr="000A1930">
        <w:rPr>
          <w:lang w:val="fr-CH"/>
        </w:rPr>
        <w:t>«3.16</w:t>
      </w:r>
      <w:proofErr w:type="gramEnd"/>
      <w:r w:rsidRPr="000A1930">
        <w:rPr>
          <w:lang w:val="fr-CH"/>
        </w:rPr>
        <w:t xml:space="preserve"> (…) En ce qui concerne le § 4.3.4, intitulé</w:t>
      </w:r>
      <w:proofErr w:type="gramStart"/>
      <w:r w:rsidRPr="000A1930">
        <w:rPr>
          <w:lang w:val="fr-CH"/>
        </w:rPr>
        <w:t xml:space="preserve"> «Cas</w:t>
      </w:r>
      <w:proofErr w:type="gramEnd"/>
      <w:r w:rsidRPr="000A1930">
        <w:rPr>
          <w:lang w:val="fr-CH"/>
        </w:rPr>
        <w:t xml:space="preserve"> de retards dus à l'embarquement d'un autre satellite sur le même </w:t>
      </w:r>
      <w:proofErr w:type="gramStart"/>
      <w:r w:rsidRPr="000A1930">
        <w:rPr>
          <w:lang w:val="fr-CH"/>
        </w:rPr>
        <w:t>lanceur»</w:t>
      </w:r>
      <w:proofErr w:type="gramEnd"/>
      <w:r w:rsidRPr="000A1930">
        <w:rPr>
          <w:lang w:val="fr-CH"/>
        </w:rPr>
        <w:t xml:space="preserve">, la CMR-19 a décidé que le Comité doit examiner la nécessité que les renseignements suivants lui soient fournis, selon qu'il conviendra, lorsqu'il est amené à examiner une demande de prorogation du délai réglementaire en cas de retard dû à l'embarquement d'un autre satellite sur le même </w:t>
      </w:r>
      <w:proofErr w:type="gramStart"/>
      <w:r w:rsidRPr="000A1930">
        <w:rPr>
          <w:lang w:val="fr-CH"/>
        </w:rPr>
        <w:t>lanceur:</w:t>
      </w:r>
      <w:proofErr w:type="gramEnd"/>
    </w:p>
    <w:p w14:paraId="05C35FDC"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description succincte du satellite devant être lancé, accompagnée des bandes de </w:t>
      </w:r>
      <w:proofErr w:type="gramStart"/>
      <w:r w:rsidRPr="000A1930">
        <w:rPr>
          <w:lang w:val="fr-CH"/>
        </w:rPr>
        <w:t>fréquences;</w:t>
      </w:r>
      <w:proofErr w:type="gramEnd"/>
      <w:r w:rsidRPr="000A1930">
        <w:rPr>
          <w:lang w:val="fr-CH"/>
        </w:rPr>
        <w:t xml:space="preserve"> </w:t>
      </w:r>
    </w:p>
    <w:p w14:paraId="33411F44"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nom du constructeur retenu pour la construction du satellite et date de signature du </w:t>
      </w:r>
      <w:proofErr w:type="gramStart"/>
      <w:r w:rsidRPr="000A1930">
        <w:rPr>
          <w:lang w:val="fr-CH"/>
        </w:rPr>
        <w:t>contrat;</w:t>
      </w:r>
      <w:proofErr w:type="gramEnd"/>
    </w:p>
    <w:p w14:paraId="64593658"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état d'avancement de la construction du satellite, y compris la date de début et une précision indiquant s'il était prévu que sa construction soit achevée avant la fenêtre de lancement </w:t>
      </w:r>
      <w:proofErr w:type="gramStart"/>
      <w:r w:rsidRPr="000A1930">
        <w:rPr>
          <w:lang w:val="fr-CH"/>
        </w:rPr>
        <w:t>initiale;</w:t>
      </w:r>
      <w:proofErr w:type="gramEnd"/>
    </w:p>
    <w:p w14:paraId="4D86C930"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nom du fournisseur du lanceur et date de signature du </w:t>
      </w:r>
      <w:proofErr w:type="gramStart"/>
      <w:r w:rsidRPr="000A1930">
        <w:rPr>
          <w:lang w:val="fr-CH"/>
        </w:rPr>
        <w:t>contrat;</w:t>
      </w:r>
      <w:proofErr w:type="gramEnd"/>
    </w:p>
    <w:p w14:paraId="46E1184B" w14:textId="77777777" w:rsidR="000A1930" w:rsidRPr="000A1930" w:rsidRDefault="000A1930" w:rsidP="00633320">
      <w:pPr>
        <w:pStyle w:val="enumlev1"/>
        <w:spacing w:before="80"/>
        <w:rPr>
          <w:lang w:val="fr-CH"/>
        </w:rPr>
      </w:pPr>
      <w:r w:rsidRPr="000A1930">
        <w:rPr>
          <w:lang w:val="fr-CH"/>
        </w:rPr>
        <w:t>–</w:t>
      </w:r>
      <w:r w:rsidRPr="000A1930">
        <w:rPr>
          <w:lang w:val="fr-CH"/>
        </w:rPr>
        <w:tab/>
        <w:t xml:space="preserve">fenêtre de lancement initiale et </w:t>
      </w:r>
      <w:proofErr w:type="gramStart"/>
      <w:r w:rsidRPr="000A1930">
        <w:rPr>
          <w:lang w:val="fr-CH"/>
        </w:rPr>
        <w:t>révisée;</w:t>
      </w:r>
      <w:proofErr w:type="gramEnd"/>
    </w:p>
    <w:p w14:paraId="6980A7BB" w14:textId="77777777" w:rsidR="005D5F1C" w:rsidRDefault="005D5F1C" w:rsidP="00633320">
      <w:pPr>
        <w:pStyle w:val="enumlev1"/>
        <w:spacing w:before="80"/>
        <w:rPr>
          <w:lang w:val="fr-CH"/>
        </w:rPr>
      </w:pPr>
      <w:r>
        <w:rPr>
          <w:lang w:val="fr-CH"/>
        </w:rPr>
        <w:br w:type="page"/>
      </w:r>
    </w:p>
    <w:p w14:paraId="446DD7A1" w14:textId="6A2A07F8" w:rsidR="000A1930" w:rsidRPr="000A1930" w:rsidRDefault="000A1930" w:rsidP="005D5F1C">
      <w:pPr>
        <w:pStyle w:val="enumlev1"/>
        <w:spacing w:before="0"/>
        <w:rPr>
          <w:lang w:val="fr-CH"/>
        </w:rPr>
      </w:pPr>
      <w:r w:rsidRPr="000A1930">
        <w:rPr>
          <w:lang w:val="fr-CH"/>
        </w:rPr>
        <w:lastRenderedPageBreak/>
        <w:t>–</w:t>
      </w:r>
      <w:r w:rsidRPr="000A1930">
        <w:rPr>
          <w:lang w:val="fr-CH"/>
        </w:rPr>
        <w:tab/>
        <w:t>précisions suffisantes pour justifier que la demande de prorogation est imputable à un retard dû à l'embarquement d'un autre satellite sur le même lanceur (par exemple lettre du fournisseur de lancement indiquant que le lancement est retardé en raison d'un retard ayant des incidences sur l'autre satellite à embarquer sur le même lanceur</w:t>
      </w:r>
      <w:proofErr w:type="gramStart"/>
      <w:r w:rsidRPr="000A1930">
        <w:rPr>
          <w:lang w:val="fr-CH"/>
        </w:rPr>
        <w:t>);</w:t>
      </w:r>
      <w:proofErr w:type="gramEnd"/>
      <w:r w:rsidRPr="000A1930">
        <w:rPr>
          <w:lang w:val="fr-CH"/>
        </w:rPr>
        <w:t xml:space="preserve"> </w:t>
      </w:r>
    </w:p>
    <w:p w14:paraId="44F601EC" w14:textId="77777777" w:rsidR="000A1930" w:rsidRPr="000A1930" w:rsidRDefault="000A1930" w:rsidP="005D5F1C">
      <w:pPr>
        <w:pStyle w:val="enumlev1"/>
        <w:spacing w:before="20"/>
        <w:rPr>
          <w:lang w:val="fr-CH"/>
        </w:rPr>
      </w:pPr>
      <w:r w:rsidRPr="000A1930">
        <w:rPr>
          <w:lang w:val="fr-CH"/>
        </w:rPr>
        <w:t>–</w:t>
      </w:r>
      <w:r w:rsidRPr="000A1930">
        <w:rPr>
          <w:lang w:val="fr-CH"/>
        </w:rPr>
        <w:tab/>
        <w:t xml:space="preserve">précisions suffisantes pour justifier la durée de la période de prorogation </w:t>
      </w:r>
      <w:proofErr w:type="gramStart"/>
      <w:r w:rsidRPr="000A1930">
        <w:rPr>
          <w:lang w:val="fr-CH"/>
        </w:rPr>
        <w:t>demandée;</w:t>
      </w:r>
      <w:proofErr w:type="gramEnd"/>
      <w:r w:rsidRPr="000A1930">
        <w:rPr>
          <w:lang w:val="fr-CH"/>
        </w:rPr>
        <w:t xml:space="preserve"> et</w:t>
      </w:r>
    </w:p>
    <w:p w14:paraId="2CB48AAF" w14:textId="77777777" w:rsidR="000A1930" w:rsidRPr="000A1930" w:rsidRDefault="000A1930" w:rsidP="005D5F1C">
      <w:pPr>
        <w:pStyle w:val="enumlev1"/>
        <w:spacing w:before="20"/>
        <w:rPr>
          <w:lang w:val="fr-CH"/>
        </w:rPr>
      </w:pPr>
      <w:r w:rsidRPr="000A1930">
        <w:rPr>
          <w:lang w:val="fr-CH"/>
        </w:rPr>
        <w:t>–</w:t>
      </w:r>
      <w:r w:rsidRPr="000A1930">
        <w:rPr>
          <w:lang w:val="fr-CH"/>
        </w:rPr>
        <w:tab/>
        <w:t>tout autre renseignement et document pertinents.</w:t>
      </w:r>
    </w:p>
    <w:p w14:paraId="530B1817" w14:textId="25392E26" w:rsidR="008B2CEF" w:rsidRDefault="000A1930" w:rsidP="005D5F1C">
      <w:pPr>
        <w:tabs>
          <w:tab w:val="left" w:pos="3402"/>
        </w:tabs>
        <w:spacing w:before="20" w:line="280" w:lineRule="exact"/>
        <w:rPr>
          <w:lang w:val="fr-CH"/>
        </w:rPr>
      </w:pPr>
      <w:r w:rsidRPr="000A1930">
        <w:rPr>
          <w:lang w:val="fr-CH"/>
        </w:rPr>
        <w:t>Lors de l'examen des demandes remplissant les conditions requises pour être considérées comme un cas de force majeure ou un cas de retard dû à l'embarquement d'un autre satellite sur le même lanceur, la CMR-19 charge le RRB de continuer de prendre en considération l'utilisation de systèmes de propulsion électriques au cas par cas au moment de déterminer la durée de la prorogation, en fonction des spécificités de chaque cas</w:t>
      </w:r>
      <w:proofErr w:type="gramStart"/>
      <w:r w:rsidRPr="000A1930">
        <w:rPr>
          <w:lang w:val="fr-CH"/>
        </w:rPr>
        <w:t>.»</w:t>
      </w:r>
      <w:proofErr w:type="gramEnd"/>
    </w:p>
    <w:p w14:paraId="24CA3E81" w14:textId="19E5CCFF" w:rsidR="00F032B2" w:rsidRPr="002103AE" w:rsidRDefault="00F032B2" w:rsidP="005D5F1C">
      <w:pPr>
        <w:spacing w:before="20"/>
        <w:rPr>
          <w:lang w:val="fr-FR"/>
        </w:rPr>
      </w:pPr>
      <w:proofErr w:type="gramStart"/>
      <w:r w:rsidRPr="00F032B2">
        <w:rPr>
          <w:b/>
          <w:bCs/>
          <w:lang w:val="fr-FR"/>
        </w:rPr>
        <w:t>Note</w:t>
      </w:r>
      <w:r w:rsidRPr="00F032B2">
        <w:rPr>
          <w:lang w:val="fr-FR"/>
        </w:rPr>
        <w:t>:</w:t>
      </w:r>
      <w:proofErr w:type="gramEnd"/>
      <w:r w:rsidRPr="00F032B2">
        <w:rPr>
          <w:lang w:val="fr-FR"/>
        </w:rPr>
        <w:t xml:space="preserve"> La CMR-23 a pris la décision suivante concernant les cas de </w:t>
      </w:r>
      <w:r w:rsidRPr="00F032B2">
        <w:rPr>
          <w:i/>
          <w:iCs/>
          <w:lang w:val="fr-FR"/>
        </w:rPr>
        <w:t>force majeure</w:t>
      </w:r>
      <w:r w:rsidRPr="00F032B2">
        <w:rPr>
          <w:lang w:val="fr-FR"/>
        </w:rPr>
        <w:t xml:space="preserve"> liés à la prorogation du délai réglementaire applicable à la mise en service ou la remise en service d'une assignation de fréquence, voir le paragraphe 13.4 du procès-verbal de la 13ème séance plénière, Document </w:t>
      </w:r>
      <w:hyperlink r:id="rId8" w:history="1">
        <w:r w:rsidR="005D5F1C" w:rsidRPr="005D5F1C">
          <w:rPr>
            <w:rStyle w:val="Hyperlink"/>
            <w:szCs w:val="24"/>
            <w:lang w:val="fr-CH"/>
          </w:rPr>
          <w:t>CMR23/528</w:t>
        </w:r>
      </w:hyperlink>
      <w:r w:rsidRPr="00F032B2">
        <w:rPr>
          <w:lang w:val="fr-FR"/>
        </w:rPr>
        <w:t>:</w:t>
      </w:r>
    </w:p>
    <w:p w14:paraId="7DCC9049" w14:textId="77777777" w:rsidR="00F032B2" w:rsidRPr="002103AE" w:rsidRDefault="00F032B2" w:rsidP="005D5F1C">
      <w:pPr>
        <w:spacing w:before="20"/>
        <w:rPr>
          <w:b/>
          <w:bCs/>
          <w:i/>
          <w:iCs/>
          <w:lang w:val="fr-FR"/>
        </w:rPr>
      </w:pPr>
      <w:r w:rsidRPr="00F032B2">
        <w:rPr>
          <w:b/>
          <w:bCs/>
          <w:i/>
          <w:iCs/>
          <w:lang w:val="fr-FR"/>
        </w:rPr>
        <w:t>Questions relatives à la prorogation des délais applicables à la mise en service ou à la remise en service d'une assignation de fréquence</w:t>
      </w:r>
    </w:p>
    <w:p w14:paraId="2BC82DEB" w14:textId="77777777" w:rsidR="00F032B2" w:rsidRPr="002103AE" w:rsidRDefault="00F032B2" w:rsidP="005D5F1C">
      <w:pPr>
        <w:spacing w:before="20"/>
        <w:rPr>
          <w:i/>
          <w:iCs/>
          <w:lang w:val="fr-FR"/>
        </w:rPr>
      </w:pPr>
      <w:proofErr w:type="gramStart"/>
      <w:r w:rsidRPr="00F032B2">
        <w:rPr>
          <w:i/>
          <w:iCs/>
          <w:lang w:val="fr-FR"/>
        </w:rPr>
        <w:t>«La</w:t>
      </w:r>
      <w:proofErr w:type="gramEnd"/>
      <w:r w:rsidRPr="00F032B2">
        <w:rPr>
          <w:i/>
          <w:iCs/>
          <w:lang w:val="fr-FR"/>
        </w:rPr>
        <w:t xml:space="preserve"> CMR-23 confirme que, bien que chaque cas soit examiné individuellement, la fourniture des renseignements ci-après facilite l'examen par le Comité d'une demande de prorogation du délai réglementaire reposant sur un cas de force </w:t>
      </w:r>
      <w:proofErr w:type="gramStart"/>
      <w:r w:rsidRPr="00F032B2">
        <w:rPr>
          <w:i/>
          <w:iCs/>
          <w:lang w:val="fr-FR"/>
        </w:rPr>
        <w:t>majeure:</w:t>
      </w:r>
      <w:proofErr w:type="gramEnd"/>
    </w:p>
    <w:p w14:paraId="39964B57" w14:textId="77777777" w:rsidR="00F032B2" w:rsidRPr="002103AE" w:rsidRDefault="00F032B2" w:rsidP="005D5F1C">
      <w:pPr>
        <w:pStyle w:val="enumlev1"/>
        <w:spacing w:before="20"/>
        <w:rPr>
          <w:i/>
          <w:iCs/>
          <w:lang w:val="fr-FR"/>
        </w:rPr>
      </w:pPr>
      <w:r w:rsidRPr="00F032B2">
        <w:rPr>
          <w:i/>
          <w:iCs/>
          <w:lang w:val="fr-FR"/>
        </w:rPr>
        <w:t>–</w:t>
      </w:r>
      <w:r w:rsidRPr="00F032B2">
        <w:rPr>
          <w:i/>
          <w:iCs/>
          <w:lang w:val="fr-FR"/>
        </w:rPr>
        <w:tab/>
        <w:t>une description succincte du satellite devant être lancé, accompagnée des bandes de </w:t>
      </w:r>
      <w:proofErr w:type="gramStart"/>
      <w:r w:rsidRPr="00F032B2">
        <w:rPr>
          <w:i/>
          <w:iCs/>
          <w:lang w:val="fr-FR"/>
        </w:rPr>
        <w:t>fréquences;</w:t>
      </w:r>
      <w:proofErr w:type="gramEnd"/>
    </w:p>
    <w:p w14:paraId="55D52092" w14:textId="77777777" w:rsidR="00F032B2" w:rsidRPr="002103AE" w:rsidRDefault="00F032B2" w:rsidP="005D5F1C">
      <w:pPr>
        <w:pStyle w:val="enumlev1"/>
        <w:spacing w:before="20"/>
        <w:rPr>
          <w:i/>
          <w:iCs/>
          <w:lang w:val="fr-FR"/>
        </w:rPr>
      </w:pPr>
      <w:r w:rsidRPr="00F032B2">
        <w:rPr>
          <w:i/>
          <w:iCs/>
          <w:lang w:val="fr-FR"/>
        </w:rPr>
        <w:t>–</w:t>
      </w:r>
      <w:r w:rsidRPr="00F032B2">
        <w:rPr>
          <w:i/>
          <w:iCs/>
          <w:lang w:val="fr-FR"/>
        </w:rPr>
        <w:tab/>
        <w:t>le nom du constructeur retenu pour la construction du satellite et date de signature du </w:t>
      </w:r>
      <w:proofErr w:type="gramStart"/>
      <w:r w:rsidRPr="00F032B2">
        <w:rPr>
          <w:i/>
          <w:iCs/>
          <w:lang w:val="fr-FR"/>
        </w:rPr>
        <w:t>contrat;</w:t>
      </w:r>
      <w:proofErr w:type="gramEnd"/>
    </w:p>
    <w:p w14:paraId="6C4F6451" w14:textId="77777777" w:rsidR="00F032B2" w:rsidRPr="002103AE" w:rsidRDefault="00F032B2" w:rsidP="005D5F1C">
      <w:pPr>
        <w:pStyle w:val="enumlev1"/>
        <w:spacing w:before="20"/>
        <w:rPr>
          <w:i/>
          <w:iCs/>
          <w:lang w:val="fr-FR"/>
        </w:rPr>
      </w:pPr>
      <w:r w:rsidRPr="00F032B2">
        <w:rPr>
          <w:i/>
          <w:iCs/>
          <w:lang w:val="fr-FR"/>
        </w:rPr>
        <w:t>–</w:t>
      </w:r>
      <w:r w:rsidRPr="00F032B2">
        <w:rPr>
          <w:i/>
          <w:iCs/>
          <w:lang w:val="fr-FR"/>
        </w:rPr>
        <w:tab/>
        <w:t xml:space="preserve">l'état d'avancement de la construction du satellite avant le cas de force majeure, y compris la date de début et une précision indiquant s'il était prévu que sa construction soit achevée avant la fenêtre de lancement </w:t>
      </w:r>
      <w:proofErr w:type="gramStart"/>
      <w:r w:rsidRPr="00F032B2">
        <w:rPr>
          <w:i/>
          <w:iCs/>
          <w:lang w:val="fr-FR"/>
        </w:rPr>
        <w:t>initiale;</w:t>
      </w:r>
      <w:proofErr w:type="gramEnd"/>
    </w:p>
    <w:p w14:paraId="3CC86B1E" w14:textId="77777777" w:rsidR="00F032B2" w:rsidRPr="002103AE" w:rsidRDefault="00F032B2" w:rsidP="005D5F1C">
      <w:pPr>
        <w:pStyle w:val="enumlev1"/>
        <w:spacing w:before="20"/>
        <w:rPr>
          <w:i/>
          <w:iCs/>
          <w:lang w:val="fr-FR"/>
        </w:rPr>
      </w:pPr>
      <w:r w:rsidRPr="00F032B2">
        <w:rPr>
          <w:i/>
          <w:iCs/>
          <w:lang w:val="fr-FR"/>
        </w:rPr>
        <w:t>–</w:t>
      </w:r>
      <w:r w:rsidRPr="00F032B2">
        <w:rPr>
          <w:i/>
          <w:iCs/>
          <w:lang w:val="fr-FR"/>
        </w:rPr>
        <w:tab/>
        <w:t xml:space="preserve">le nom du fournisseur de services de lancement et date de signature du </w:t>
      </w:r>
      <w:proofErr w:type="gramStart"/>
      <w:r w:rsidRPr="00F032B2">
        <w:rPr>
          <w:i/>
          <w:iCs/>
          <w:lang w:val="fr-FR"/>
        </w:rPr>
        <w:t>contrat;</w:t>
      </w:r>
      <w:proofErr w:type="gramEnd"/>
    </w:p>
    <w:p w14:paraId="6FC222C1" w14:textId="77777777" w:rsidR="00F032B2" w:rsidRPr="002103AE" w:rsidRDefault="00F032B2" w:rsidP="005D5F1C">
      <w:pPr>
        <w:pStyle w:val="enumlev1"/>
        <w:spacing w:before="20"/>
        <w:rPr>
          <w:i/>
          <w:iCs/>
          <w:lang w:val="fr-FR"/>
        </w:rPr>
      </w:pPr>
      <w:r w:rsidRPr="00F032B2">
        <w:rPr>
          <w:i/>
          <w:iCs/>
          <w:lang w:val="fr-FR"/>
        </w:rPr>
        <w:t>–</w:t>
      </w:r>
      <w:r w:rsidRPr="00F032B2">
        <w:rPr>
          <w:i/>
          <w:iCs/>
          <w:lang w:val="fr-FR"/>
        </w:rPr>
        <w:tab/>
        <w:t xml:space="preserve">les efforts déployés et mesures prises ou envisagées pour éviter que le délai imparti soit dépassé, pour surmonter les difficultés rencontrées et réduire le calendrier d'exécution du projet, si possible, en fournissant des pièces justificatives émanant du constructeur du satellite ou du fournisseur de services de lancement, selon le </w:t>
      </w:r>
      <w:proofErr w:type="gramStart"/>
      <w:r w:rsidRPr="00F032B2">
        <w:rPr>
          <w:i/>
          <w:iCs/>
          <w:lang w:val="fr-FR"/>
        </w:rPr>
        <w:t>cas;</w:t>
      </w:r>
      <w:proofErr w:type="gramEnd"/>
    </w:p>
    <w:p w14:paraId="05BC438C" w14:textId="77777777" w:rsidR="00F032B2" w:rsidRPr="002103AE" w:rsidRDefault="00F032B2" w:rsidP="005D5F1C">
      <w:pPr>
        <w:pStyle w:val="enumlev1"/>
        <w:spacing w:before="20"/>
        <w:rPr>
          <w:i/>
          <w:iCs/>
          <w:lang w:val="fr-FR"/>
        </w:rPr>
      </w:pPr>
      <w:r w:rsidRPr="00F032B2">
        <w:rPr>
          <w:i/>
          <w:iCs/>
          <w:lang w:val="fr-FR"/>
        </w:rPr>
        <w:t>–</w:t>
      </w:r>
      <w:r w:rsidRPr="00F032B2">
        <w:rPr>
          <w:i/>
          <w:iCs/>
          <w:lang w:val="fr-FR"/>
        </w:rPr>
        <w:tab/>
        <w:t xml:space="preserve">la justification et évaluation détaillées au regard des quatre conditions constitutives de la force </w:t>
      </w:r>
      <w:proofErr w:type="gramStart"/>
      <w:r w:rsidRPr="00F032B2">
        <w:rPr>
          <w:i/>
          <w:iCs/>
          <w:lang w:val="fr-FR"/>
        </w:rPr>
        <w:t>majeure:</w:t>
      </w:r>
      <w:proofErr w:type="gramEnd"/>
    </w:p>
    <w:p w14:paraId="22780809" w14:textId="77777777" w:rsidR="00F032B2" w:rsidRPr="005D5F1C" w:rsidRDefault="00F032B2" w:rsidP="005D5F1C">
      <w:pPr>
        <w:pStyle w:val="enumlev2"/>
        <w:spacing w:before="20"/>
        <w:rPr>
          <w:rFonts w:ascii="Times New Roman Italic" w:hAnsi="Times New Roman Italic"/>
          <w:i/>
          <w:iCs/>
          <w:spacing w:val="-2"/>
          <w:sz w:val="23"/>
          <w:szCs w:val="23"/>
          <w:lang w:val="fr-FR"/>
        </w:rPr>
      </w:pPr>
      <w:r w:rsidRPr="005D5F1C">
        <w:rPr>
          <w:rFonts w:ascii="Times New Roman Italic" w:hAnsi="Times New Roman Italic"/>
          <w:i/>
          <w:iCs/>
          <w:spacing w:val="-2"/>
          <w:sz w:val="23"/>
          <w:szCs w:val="23"/>
          <w:lang w:val="fr-FR"/>
        </w:rPr>
        <w:t>1)</w:t>
      </w:r>
      <w:r w:rsidRPr="005D5F1C">
        <w:rPr>
          <w:rFonts w:ascii="Times New Roman Italic" w:hAnsi="Times New Roman Italic"/>
          <w:i/>
          <w:iCs/>
          <w:spacing w:val="-2"/>
          <w:sz w:val="23"/>
          <w:szCs w:val="23"/>
          <w:lang w:val="fr-FR"/>
        </w:rPr>
        <w:tab/>
        <w:t xml:space="preserve">l'événement doit être indépendant du débiteur de </w:t>
      </w:r>
      <w:proofErr w:type="gramStart"/>
      <w:r w:rsidRPr="005D5F1C">
        <w:rPr>
          <w:rFonts w:ascii="Times New Roman Italic" w:hAnsi="Times New Roman Italic"/>
          <w:i/>
          <w:iCs/>
          <w:spacing w:val="-2"/>
          <w:sz w:val="23"/>
          <w:szCs w:val="23"/>
          <w:lang w:val="fr-FR"/>
        </w:rPr>
        <w:t>l'obligation;</w:t>
      </w:r>
      <w:proofErr w:type="gramEnd"/>
    </w:p>
    <w:p w14:paraId="71D90141" w14:textId="77777777" w:rsidR="00F032B2" w:rsidRPr="005D5F1C" w:rsidRDefault="00F032B2" w:rsidP="005D5F1C">
      <w:pPr>
        <w:pStyle w:val="enumlev2"/>
        <w:spacing w:before="20"/>
        <w:rPr>
          <w:rFonts w:ascii="Times New Roman Italic" w:hAnsi="Times New Roman Italic"/>
          <w:i/>
          <w:iCs/>
          <w:spacing w:val="-2"/>
          <w:sz w:val="23"/>
          <w:szCs w:val="23"/>
          <w:lang w:val="fr-FR"/>
        </w:rPr>
      </w:pPr>
      <w:r w:rsidRPr="005D5F1C">
        <w:rPr>
          <w:rFonts w:ascii="Times New Roman Italic" w:hAnsi="Times New Roman Italic"/>
          <w:i/>
          <w:iCs/>
          <w:spacing w:val="-2"/>
          <w:sz w:val="23"/>
          <w:szCs w:val="23"/>
          <w:lang w:val="fr-FR"/>
        </w:rPr>
        <w:t>2)</w:t>
      </w:r>
      <w:r w:rsidRPr="005D5F1C">
        <w:rPr>
          <w:rFonts w:ascii="Times New Roman Italic" w:hAnsi="Times New Roman Italic"/>
          <w:i/>
          <w:iCs/>
          <w:spacing w:val="-2"/>
          <w:sz w:val="23"/>
          <w:szCs w:val="23"/>
          <w:lang w:val="fr-FR"/>
        </w:rPr>
        <w:tab/>
        <w:t xml:space="preserve">l'événement constitutif de la force majeure doit être imprévu ou, s'il était prévisible, doit être inévitable et </w:t>
      </w:r>
      <w:proofErr w:type="gramStart"/>
      <w:r w:rsidRPr="005D5F1C">
        <w:rPr>
          <w:rFonts w:ascii="Times New Roman Italic" w:hAnsi="Times New Roman Italic"/>
          <w:i/>
          <w:iCs/>
          <w:spacing w:val="-2"/>
          <w:sz w:val="23"/>
          <w:szCs w:val="23"/>
          <w:lang w:val="fr-FR"/>
        </w:rPr>
        <w:t>insurmontable;</w:t>
      </w:r>
      <w:proofErr w:type="gramEnd"/>
    </w:p>
    <w:p w14:paraId="2D121F76" w14:textId="77777777" w:rsidR="00F032B2" w:rsidRPr="005D5F1C" w:rsidRDefault="00F032B2" w:rsidP="005D5F1C">
      <w:pPr>
        <w:pStyle w:val="enumlev2"/>
        <w:spacing w:before="20"/>
        <w:rPr>
          <w:rFonts w:ascii="Times New Roman Italic" w:hAnsi="Times New Roman Italic"/>
          <w:i/>
          <w:iCs/>
          <w:spacing w:val="-2"/>
          <w:sz w:val="23"/>
          <w:szCs w:val="23"/>
          <w:lang w:val="fr-FR"/>
        </w:rPr>
      </w:pPr>
      <w:r w:rsidRPr="005D5F1C">
        <w:rPr>
          <w:rFonts w:ascii="Times New Roman Italic" w:hAnsi="Times New Roman Italic"/>
          <w:i/>
          <w:iCs/>
          <w:spacing w:val="-2"/>
          <w:sz w:val="23"/>
          <w:szCs w:val="23"/>
          <w:lang w:val="fr-FR"/>
        </w:rPr>
        <w:t>3)</w:t>
      </w:r>
      <w:r w:rsidRPr="005D5F1C">
        <w:rPr>
          <w:rFonts w:ascii="Times New Roman Italic" w:hAnsi="Times New Roman Italic"/>
          <w:i/>
          <w:iCs/>
          <w:spacing w:val="-2"/>
          <w:sz w:val="23"/>
          <w:szCs w:val="23"/>
          <w:lang w:val="fr-FR"/>
        </w:rPr>
        <w:tab/>
        <w:t xml:space="preserve">l'événement doit être tel qu'il rend impossible au débiteur de l'obligation de s'en </w:t>
      </w:r>
      <w:proofErr w:type="gramStart"/>
      <w:r w:rsidRPr="005D5F1C">
        <w:rPr>
          <w:rFonts w:ascii="Times New Roman Italic" w:hAnsi="Times New Roman Italic"/>
          <w:i/>
          <w:iCs/>
          <w:spacing w:val="-2"/>
          <w:sz w:val="23"/>
          <w:szCs w:val="23"/>
          <w:lang w:val="fr-FR"/>
        </w:rPr>
        <w:t>acquitter;</w:t>
      </w:r>
      <w:proofErr w:type="gramEnd"/>
    </w:p>
    <w:p w14:paraId="2B4DCDA8" w14:textId="77777777" w:rsidR="00F032B2" w:rsidRPr="005D5F1C" w:rsidRDefault="00F032B2" w:rsidP="005D5F1C">
      <w:pPr>
        <w:pStyle w:val="enumlev2"/>
        <w:spacing w:before="20"/>
        <w:rPr>
          <w:rFonts w:ascii="Times New Roman Italic" w:hAnsi="Times New Roman Italic"/>
          <w:i/>
          <w:iCs/>
          <w:spacing w:val="-2"/>
          <w:sz w:val="23"/>
          <w:szCs w:val="23"/>
          <w:lang w:val="fr-FR"/>
        </w:rPr>
      </w:pPr>
      <w:r w:rsidRPr="005D5F1C">
        <w:rPr>
          <w:rFonts w:ascii="Times New Roman Italic" w:hAnsi="Times New Roman Italic"/>
          <w:i/>
          <w:iCs/>
          <w:spacing w:val="-2"/>
          <w:sz w:val="23"/>
          <w:szCs w:val="23"/>
          <w:lang w:val="fr-FR"/>
        </w:rPr>
        <w:t>4)</w:t>
      </w:r>
      <w:r w:rsidRPr="005D5F1C">
        <w:rPr>
          <w:rFonts w:ascii="Times New Roman Italic" w:hAnsi="Times New Roman Italic"/>
          <w:i/>
          <w:iCs/>
          <w:spacing w:val="-2"/>
          <w:sz w:val="23"/>
          <w:szCs w:val="23"/>
          <w:lang w:val="fr-FR"/>
        </w:rPr>
        <w:tab/>
        <w:t xml:space="preserve">enfin, il doit exister un lien de causalité entre l'événement constitutif de la force majeure et la non-exécution de son obligation par le </w:t>
      </w:r>
      <w:proofErr w:type="gramStart"/>
      <w:r w:rsidRPr="005D5F1C">
        <w:rPr>
          <w:rFonts w:ascii="Times New Roman Italic" w:hAnsi="Times New Roman Italic"/>
          <w:i/>
          <w:iCs/>
          <w:spacing w:val="-2"/>
          <w:sz w:val="23"/>
          <w:szCs w:val="23"/>
          <w:lang w:val="fr-FR"/>
        </w:rPr>
        <w:t>débiteur;</w:t>
      </w:r>
      <w:proofErr w:type="gramEnd"/>
    </w:p>
    <w:p w14:paraId="62D76D10" w14:textId="77777777" w:rsidR="00F032B2" w:rsidRPr="002103AE" w:rsidRDefault="00F032B2" w:rsidP="005D5F1C">
      <w:pPr>
        <w:pStyle w:val="enumlev1"/>
        <w:spacing w:before="20"/>
        <w:rPr>
          <w:i/>
          <w:iCs/>
          <w:lang w:val="fr-FR"/>
        </w:rPr>
      </w:pPr>
      <w:r w:rsidRPr="00F032B2">
        <w:rPr>
          <w:i/>
          <w:iCs/>
          <w:lang w:val="fr-FR"/>
        </w:rPr>
        <w:t>–</w:t>
      </w:r>
      <w:r w:rsidRPr="00F032B2">
        <w:rPr>
          <w:i/>
          <w:iCs/>
          <w:lang w:val="fr-FR"/>
        </w:rPr>
        <w:tab/>
        <w:t xml:space="preserve">le calendrier initial et révisé des étapes du projet pour la construction, la fenêtre de lancement, le lancement et la mise à poste du satellite, ainsi que les échéances concernant le repositionnement et les essais sur orbite, lorsque le satellite n'est pas placé directement sur sa position orbitale nominale ou sur son orbite des satellites non </w:t>
      </w:r>
      <w:proofErr w:type="gramStart"/>
      <w:r w:rsidRPr="00F032B2">
        <w:rPr>
          <w:i/>
          <w:iCs/>
          <w:lang w:val="fr-FR"/>
        </w:rPr>
        <w:t>géostationnaires;</w:t>
      </w:r>
      <w:proofErr w:type="gramEnd"/>
    </w:p>
    <w:p w14:paraId="7D7FE024" w14:textId="77777777" w:rsidR="00F032B2" w:rsidRPr="002103AE" w:rsidRDefault="00F032B2" w:rsidP="005D5F1C">
      <w:pPr>
        <w:pStyle w:val="enumlev1"/>
        <w:spacing w:before="20"/>
        <w:rPr>
          <w:i/>
          <w:iCs/>
          <w:lang w:val="fr-FR"/>
        </w:rPr>
      </w:pPr>
      <w:r w:rsidRPr="00F032B2">
        <w:rPr>
          <w:i/>
          <w:iCs/>
          <w:lang w:val="fr-FR"/>
        </w:rPr>
        <w:t>–</w:t>
      </w:r>
      <w:r w:rsidRPr="00F032B2">
        <w:rPr>
          <w:i/>
          <w:iCs/>
          <w:lang w:val="fr-FR"/>
        </w:rPr>
        <w:tab/>
        <w:t xml:space="preserve">une justification détaillée de la durée de la période de prorogation demandée, y compris le détail de la nature et de l'importance du retard pris jusqu'à présent, le retard supplémentaire prévu par le constructeur et le fournisseur de services de lancement, et toute éventualité </w:t>
      </w:r>
      <w:proofErr w:type="gramStart"/>
      <w:r w:rsidRPr="00F032B2">
        <w:rPr>
          <w:i/>
          <w:iCs/>
          <w:lang w:val="fr-FR"/>
        </w:rPr>
        <w:t>prévue;</w:t>
      </w:r>
      <w:proofErr w:type="gramEnd"/>
    </w:p>
    <w:p w14:paraId="2DC6C369" w14:textId="3C527856" w:rsidR="00F032B2" w:rsidRPr="002103AE" w:rsidRDefault="00F032B2" w:rsidP="005D5F1C">
      <w:pPr>
        <w:pStyle w:val="enumlev1"/>
        <w:spacing w:before="80"/>
        <w:rPr>
          <w:i/>
          <w:iCs/>
          <w:lang w:val="fr-FR"/>
        </w:rPr>
      </w:pPr>
      <w:r w:rsidRPr="00F032B2">
        <w:rPr>
          <w:i/>
          <w:iCs/>
          <w:lang w:val="fr-FR"/>
        </w:rPr>
        <w:lastRenderedPageBreak/>
        <w:t>–</w:t>
      </w:r>
      <w:r w:rsidRPr="00F032B2">
        <w:rPr>
          <w:i/>
          <w:iCs/>
          <w:lang w:val="fr-FR"/>
        </w:rPr>
        <w:tab/>
        <w:t>tous autres renseignements et documents pertinents.</w:t>
      </w:r>
    </w:p>
    <w:p w14:paraId="3D435036" w14:textId="77777777" w:rsidR="00F032B2" w:rsidRPr="002103AE" w:rsidRDefault="00F032B2" w:rsidP="005D5F1C">
      <w:pPr>
        <w:spacing w:before="120"/>
        <w:rPr>
          <w:i/>
          <w:iCs/>
          <w:lang w:val="fr-FR"/>
        </w:rPr>
      </w:pPr>
      <w:r w:rsidRPr="00F032B2">
        <w:rPr>
          <w:i/>
          <w:iCs/>
          <w:lang w:val="fr-FR"/>
        </w:rPr>
        <w:t>La CMR-23 confirme également l'approche suivie par le Comité en ce qui concerne les délais pour imprévus lors de la détermination de la durée d'une prorogation en cas de force majeure.</w:t>
      </w:r>
    </w:p>
    <w:p w14:paraId="5A6902E1" w14:textId="77777777" w:rsidR="00F032B2" w:rsidRPr="002103AE" w:rsidRDefault="00F032B2" w:rsidP="005D5F1C">
      <w:pPr>
        <w:spacing w:before="120"/>
        <w:rPr>
          <w:i/>
          <w:iCs/>
          <w:lang w:val="fr-FR"/>
        </w:rPr>
      </w:pPr>
      <w:r w:rsidRPr="00F032B2">
        <w:rPr>
          <w:i/>
          <w:iCs/>
          <w:lang w:val="fr-FR"/>
        </w:rPr>
        <w:t>La CMR-23 note également que le Comité examine à présent au cas par cas la façon dont les quatre conditions constitutives de la force majeure sont remplies, lorsque la pandémie de COVID</w:t>
      </w:r>
      <w:r w:rsidRPr="00F032B2">
        <w:rPr>
          <w:i/>
          <w:iCs/>
          <w:lang w:val="fr-FR"/>
        </w:rPr>
        <w:softHyphen/>
        <w:t>19 est invoquée comme cas de force majeure.</w:t>
      </w:r>
    </w:p>
    <w:p w14:paraId="09A054B9" w14:textId="77777777" w:rsidR="00F032B2" w:rsidRPr="002103AE" w:rsidRDefault="00F032B2" w:rsidP="005D5F1C">
      <w:pPr>
        <w:spacing w:before="120"/>
        <w:rPr>
          <w:i/>
          <w:iCs/>
          <w:lang w:val="fr-FR"/>
        </w:rPr>
      </w:pPr>
      <w:r w:rsidRPr="00F032B2">
        <w:rPr>
          <w:i/>
          <w:iCs/>
          <w:lang w:val="fr-FR"/>
        </w:rPr>
        <w:t xml:space="preserve">La CMR-23 charge le Comité de faire figurer les confirmations ci-dessus dans les Règles de procédure relatives à la prorogation du délai réglementaire applicable à la mise en service des assignations de fréquence à un </w:t>
      </w:r>
      <w:proofErr w:type="gramStart"/>
      <w:r w:rsidRPr="00F032B2">
        <w:rPr>
          <w:i/>
          <w:iCs/>
          <w:lang w:val="fr-FR"/>
        </w:rPr>
        <w:t>satellite»</w:t>
      </w:r>
      <w:proofErr w:type="gramEnd"/>
      <w:r>
        <w:rPr>
          <w:i/>
          <w:iCs/>
          <w:lang w:val="fr-FR"/>
        </w:rPr>
        <w:t>.</w:t>
      </w:r>
    </w:p>
    <w:p w14:paraId="66DEEEA8" w14:textId="52C65222" w:rsidR="00F032B2" w:rsidRPr="002103AE" w:rsidRDefault="00F032B2" w:rsidP="005D5F1C">
      <w:pPr>
        <w:spacing w:before="120"/>
        <w:rPr>
          <w:lang w:val="fr-FR"/>
        </w:rPr>
      </w:pPr>
      <w:proofErr w:type="gramStart"/>
      <w:r w:rsidRPr="00F032B2">
        <w:rPr>
          <w:b/>
          <w:bCs/>
          <w:lang w:val="fr-FR"/>
        </w:rPr>
        <w:t>Note</w:t>
      </w:r>
      <w:r w:rsidRPr="00F032B2">
        <w:rPr>
          <w:lang w:val="fr-FR"/>
        </w:rPr>
        <w:t>:</w:t>
      </w:r>
      <w:proofErr w:type="gramEnd"/>
      <w:r w:rsidRPr="00F032B2">
        <w:rPr>
          <w:lang w:val="fr-FR"/>
        </w:rPr>
        <w:t xml:space="preserve"> La CMR-23 a pris la décision suivante concernant les cas de retards dus à l'embarquement d'un autre satellite sur </w:t>
      </w:r>
      <w:proofErr w:type="gramStart"/>
      <w:r w:rsidRPr="00F032B2">
        <w:rPr>
          <w:lang w:val="fr-FR"/>
        </w:rPr>
        <w:t>le même lanceur liés</w:t>
      </w:r>
      <w:proofErr w:type="gramEnd"/>
      <w:r w:rsidRPr="00F032B2">
        <w:rPr>
          <w:lang w:val="fr-FR"/>
        </w:rPr>
        <w:t xml:space="preserve"> à la prorogation du délai réglementaire applicable à la mise en service ou la remise en service d'une assignation de fréquence, voir le paragraphe</w:t>
      </w:r>
      <w:r>
        <w:rPr>
          <w:lang w:val="fr-FR"/>
        </w:rPr>
        <w:t> </w:t>
      </w:r>
      <w:r w:rsidRPr="00F032B2">
        <w:rPr>
          <w:lang w:val="fr-FR"/>
        </w:rPr>
        <w:t>13.6 du procès-verbal de la 13ème séance plénière, Document</w:t>
      </w:r>
      <w:r>
        <w:rPr>
          <w:lang w:val="fr-FR"/>
        </w:rPr>
        <w:t> </w:t>
      </w:r>
      <w:hyperlink r:id="rId9" w:history="1">
        <w:r w:rsidR="005D5F1C" w:rsidRPr="005D5F1C">
          <w:rPr>
            <w:rStyle w:val="Hyperlink"/>
            <w:szCs w:val="24"/>
            <w:lang w:val="fr-CH"/>
          </w:rPr>
          <w:t>CMR23/528</w:t>
        </w:r>
      </w:hyperlink>
      <w:r w:rsidRPr="00F032B2">
        <w:rPr>
          <w:lang w:val="fr-FR"/>
        </w:rPr>
        <w:t>:</w:t>
      </w:r>
    </w:p>
    <w:p w14:paraId="11769EBE" w14:textId="32270591" w:rsidR="00F032B2" w:rsidRPr="002103AE" w:rsidRDefault="00F032B2" w:rsidP="005D5F1C">
      <w:pPr>
        <w:spacing w:before="120"/>
        <w:rPr>
          <w:i/>
          <w:iCs/>
          <w:lang w:val="fr-FR"/>
        </w:rPr>
      </w:pPr>
      <w:proofErr w:type="gramStart"/>
      <w:r w:rsidRPr="00F032B2">
        <w:rPr>
          <w:i/>
          <w:iCs/>
          <w:lang w:val="fr-FR"/>
        </w:rPr>
        <w:t>«La</w:t>
      </w:r>
      <w:proofErr w:type="gramEnd"/>
      <w:r w:rsidRPr="00F032B2">
        <w:rPr>
          <w:i/>
          <w:iCs/>
          <w:lang w:val="fr-FR"/>
        </w:rPr>
        <w:t xml:space="preserve"> CMR-23 confirme que la décision adoptée à la CMR</w:t>
      </w:r>
      <w:r w:rsidR="005D5F1C">
        <w:rPr>
          <w:i/>
          <w:iCs/>
          <w:lang w:val="fr-FR"/>
        </w:rPr>
        <w:t>-</w:t>
      </w:r>
      <w:r w:rsidRPr="00F032B2">
        <w:rPr>
          <w:i/>
          <w:iCs/>
          <w:lang w:val="fr-FR"/>
        </w:rPr>
        <w:t xml:space="preserve">19 sur la nécessité que des renseignements soient fournis, selon qu'il conviendra, lors de l'examen d'une demande de prorogation du délai réglementaire en cas de retard dû à l'embarquement d'un autre satellite sur le même lanceur devrait être révisée comme </w:t>
      </w:r>
      <w:proofErr w:type="gramStart"/>
      <w:r w:rsidRPr="00F032B2">
        <w:rPr>
          <w:i/>
          <w:iCs/>
          <w:lang w:val="fr-FR"/>
        </w:rPr>
        <w:t>suit:</w:t>
      </w:r>
      <w:proofErr w:type="gramEnd"/>
    </w:p>
    <w:p w14:paraId="0EB48E3B" w14:textId="77777777" w:rsidR="00F032B2" w:rsidRPr="002103AE" w:rsidRDefault="00F032B2" w:rsidP="005D5F1C">
      <w:pPr>
        <w:pStyle w:val="enumlev1"/>
        <w:spacing w:before="80"/>
        <w:rPr>
          <w:i/>
          <w:iCs/>
          <w:lang w:val="fr-FR"/>
        </w:rPr>
      </w:pPr>
      <w:r w:rsidRPr="00F032B2">
        <w:rPr>
          <w:i/>
          <w:iCs/>
          <w:lang w:val="fr-FR"/>
        </w:rPr>
        <w:t>–</w:t>
      </w:r>
      <w:r w:rsidRPr="00F032B2">
        <w:rPr>
          <w:i/>
          <w:iCs/>
          <w:lang w:val="fr-FR"/>
        </w:rPr>
        <w:tab/>
        <w:t>une description succincte du satellite devant être lancé, accompagnée des bandes de </w:t>
      </w:r>
      <w:proofErr w:type="gramStart"/>
      <w:r w:rsidRPr="00F032B2">
        <w:rPr>
          <w:i/>
          <w:iCs/>
          <w:lang w:val="fr-FR"/>
        </w:rPr>
        <w:t>fréquences;</w:t>
      </w:r>
      <w:proofErr w:type="gramEnd"/>
    </w:p>
    <w:p w14:paraId="3FC1318B" w14:textId="77777777" w:rsidR="00F032B2" w:rsidRPr="002103AE" w:rsidRDefault="00F032B2" w:rsidP="005D5F1C">
      <w:pPr>
        <w:pStyle w:val="enumlev1"/>
        <w:spacing w:before="80"/>
        <w:rPr>
          <w:i/>
          <w:iCs/>
          <w:lang w:val="fr-FR"/>
        </w:rPr>
      </w:pPr>
      <w:r w:rsidRPr="00F032B2">
        <w:rPr>
          <w:i/>
          <w:iCs/>
          <w:lang w:val="fr-FR"/>
        </w:rPr>
        <w:t>–</w:t>
      </w:r>
      <w:r w:rsidRPr="00F032B2">
        <w:rPr>
          <w:i/>
          <w:iCs/>
          <w:lang w:val="fr-FR"/>
        </w:rPr>
        <w:tab/>
        <w:t>le nom du constructeur retenu pour la construction du satellite et date de signature du </w:t>
      </w:r>
      <w:proofErr w:type="gramStart"/>
      <w:r w:rsidRPr="00F032B2">
        <w:rPr>
          <w:i/>
          <w:iCs/>
          <w:lang w:val="fr-FR"/>
        </w:rPr>
        <w:t>contrat;</w:t>
      </w:r>
      <w:proofErr w:type="gramEnd"/>
    </w:p>
    <w:p w14:paraId="71967F9A" w14:textId="77777777" w:rsidR="00F032B2" w:rsidRPr="002103AE" w:rsidRDefault="00F032B2" w:rsidP="005D5F1C">
      <w:pPr>
        <w:pStyle w:val="enumlev1"/>
        <w:spacing w:before="80"/>
        <w:rPr>
          <w:i/>
          <w:iCs/>
          <w:lang w:val="fr-FR"/>
        </w:rPr>
      </w:pPr>
      <w:r w:rsidRPr="00F032B2">
        <w:rPr>
          <w:i/>
          <w:iCs/>
          <w:lang w:val="fr-FR"/>
        </w:rPr>
        <w:t>–</w:t>
      </w:r>
      <w:r w:rsidRPr="00F032B2">
        <w:rPr>
          <w:i/>
          <w:iCs/>
          <w:lang w:val="fr-FR"/>
        </w:rPr>
        <w:tab/>
        <w:t xml:space="preserve">l'état d'avancement de la construction du satellite, y compris la date de début et une précision indiquant s'il était prévu que sa construction soit achevée avant la fenêtre de lancement </w:t>
      </w:r>
      <w:proofErr w:type="gramStart"/>
      <w:r w:rsidRPr="00F032B2">
        <w:rPr>
          <w:i/>
          <w:iCs/>
          <w:lang w:val="fr-FR"/>
        </w:rPr>
        <w:t>initiale;</w:t>
      </w:r>
      <w:proofErr w:type="gramEnd"/>
    </w:p>
    <w:p w14:paraId="35AA3C8B" w14:textId="77777777" w:rsidR="00F032B2" w:rsidRPr="002103AE" w:rsidRDefault="00F032B2" w:rsidP="005D5F1C">
      <w:pPr>
        <w:pStyle w:val="enumlev1"/>
        <w:spacing w:before="80"/>
        <w:rPr>
          <w:i/>
          <w:iCs/>
          <w:lang w:val="fr-FR"/>
        </w:rPr>
      </w:pPr>
      <w:r w:rsidRPr="00F032B2">
        <w:rPr>
          <w:i/>
          <w:iCs/>
          <w:lang w:val="fr-FR"/>
        </w:rPr>
        <w:t>–</w:t>
      </w:r>
      <w:r w:rsidRPr="00F032B2">
        <w:rPr>
          <w:i/>
          <w:iCs/>
          <w:lang w:val="fr-FR"/>
        </w:rPr>
        <w:tab/>
        <w:t xml:space="preserve">le nom du fournisseur de services de lancement et date de signature du </w:t>
      </w:r>
      <w:proofErr w:type="gramStart"/>
      <w:r w:rsidRPr="00F032B2">
        <w:rPr>
          <w:i/>
          <w:iCs/>
          <w:lang w:val="fr-FR"/>
        </w:rPr>
        <w:t>contrat;</w:t>
      </w:r>
      <w:proofErr w:type="gramEnd"/>
    </w:p>
    <w:p w14:paraId="5EE1753D" w14:textId="77777777" w:rsidR="00F032B2" w:rsidRPr="002103AE" w:rsidRDefault="00F032B2" w:rsidP="005D5F1C">
      <w:pPr>
        <w:pStyle w:val="enumlev1"/>
        <w:spacing w:before="80"/>
        <w:rPr>
          <w:i/>
          <w:iCs/>
          <w:lang w:val="fr-FR"/>
        </w:rPr>
      </w:pPr>
      <w:r w:rsidRPr="00F032B2">
        <w:rPr>
          <w:i/>
          <w:iCs/>
          <w:lang w:val="fr-FR"/>
        </w:rPr>
        <w:t>–</w:t>
      </w:r>
      <w:r w:rsidRPr="00F032B2">
        <w:rPr>
          <w:i/>
          <w:iCs/>
          <w:lang w:val="fr-FR"/>
        </w:rPr>
        <w:tab/>
        <w:t xml:space="preserve">le calendrier initial et révisé des étapes du projet pour la fenêtre de lancement, le lancement et la mise à poste du satellite, ainsi que les échéances concernant le repositionnement et les essais sur orbite, lorsque le satellite n'est pas placé directement sur sa position orbitale nominale ou sur son orbite des satellites non </w:t>
      </w:r>
      <w:proofErr w:type="gramStart"/>
      <w:r w:rsidRPr="00F032B2">
        <w:rPr>
          <w:i/>
          <w:iCs/>
          <w:lang w:val="fr-FR"/>
        </w:rPr>
        <w:t>géostationnaires;</w:t>
      </w:r>
      <w:proofErr w:type="gramEnd"/>
    </w:p>
    <w:p w14:paraId="0A5B8FB6" w14:textId="77777777" w:rsidR="00F032B2" w:rsidRPr="002103AE" w:rsidRDefault="00F032B2" w:rsidP="005D5F1C">
      <w:pPr>
        <w:pStyle w:val="enumlev1"/>
        <w:keepLines/>
        <w:spacing w:before="80"/>
        <w:rPr>
          <w:i/>
          <w:iCs/>
          <w:lang w:val="fr-FR"/>
        </w:rPr>
      </w:pPr>
      <w:r w:rsidRPr="00F032B2">
        <w:rPr>
          <w:i/>
          <w:iCs/>
          <w:lang w:val="fr-FR"/>
        </w:rPr>
        <w:t>–</w:t>
      </w:r>
      <w:r w:rsidRPr="00F032B2">
        <w:rPr>
          <w:i/>
          <w:iCs/>
          <w:lang w:val="fr-FR"/>
        </w:rPr>
        <w:tab/>
        <w:t>les précisions suffisantes pour justifier que la demande de prorogation est imputable à un retard dû à l'embarquement d'un autre satellite sur le même lanceur (par exemple lettre du fournisseur de services de lancement indiquant que le lancement est retardé en raison d'un retard ayant des incidences sur l'autre satellite à embarquer sur le même lanceur</w:t>
      </w:r>
      <w:proofErr w:type="gramStart"/>
      <w:r w:rsidRPr="00F032B2">
        <w:rPr>
          <w:i/>
          <w:iCs/>
          <w:lang w:val="fr-FR"/>
        </w:rPr>
        <w:t>);</w:t>
      </w:r>
      <w:proofErr w:type="gramEnd"/>
    </w:p>
    <w:p w14:paraId="75A4F7D4" w14:textId="77777777" w:rsidR="00F032B2" w:rsidRPr="002103AE" w:rsidRDefault="00F032B2" w:rsidP="005D5F1C">
      <w:pPr>
        <w:pStyle w:val="enumlev1"/>
        <w:spacing w:before="80"/>
        <w:rPr>
          <w:i/>
          <w:iCs/>
          <w:lang w:val="fr-FR"/>
        </w:rPr>
      </w:pPr>
      <w:r w:rsidRPr="00F032B2">
        <w:rPr>
          <w:i/>
          <w:iCs/>
          <w:lang w:val="fr-FR"/>
        </w:rPr>
        <w:t>–</w:t>
      </w:r>
      <w:r w:rsidRPr="00F032B2">
        <w:rPr>
          <w:i/>
          <w:iCs/>
          <w:lang w:val="fr-FR"/>
        </w:rPr>
        <w:tab/>
        <w:t xml:space="preserve">une justification détaillée de la durée de la période de prorogation demandée, y compris le détail de la nature et de l'importance du retard pris jusqu'à présent, le retard supplémentaire prévu par le fournisseur de services de lancement, et toute éventualité </w:t>
      </w:r>
      <w:proofErr w:type="gramStart"/>
      <w:r w:rsidRPr="00F032B2">
        <w:rPr>
          <w:i/>
          <w:iCs/>
          <w:lang w:val="fr-FR"/>
        </w:rPr>
        <w:t>prévue;</w:t>
      </w:r>
      <w:proofErr w:type="gramEnd"/>
    </w:p>
    <w:p w14:paraId="54C4817E" w14:textId="77777777" w:rsidR="00F032B2" w:rsidRPr="002103AE" w:rsidRDefault="00F032B2" w:rsidP="005D5F1C">
      <w:pPr>
        <w:pStyle w:val="enumlev1"/>
        <w:spacing w:before="80"/>
        <w:rPr>
          <w:i/>
          <w:iCs/>
          <w:lang w:val="fr-FR"/>
        </w:rPr>
      </w:pPr>
      <w:r w:rsidRPr="00F032B2">
        <w:rPr>
          <w:i/>
          <w:iCs/>
          <w:lang w:val="fr-FR"/>
        </w:rPr>
        <w:t>–</w:t>
      </w:r>
      <w:r w:rsidRPr="00F032B2">
        <w:rPr>
          <w:i/>
          <w:iCs/>
          <w:lang w:val="fr-FR"/>
        </w:rPr>
        <w:tab/>
        <w:t>tous autres renseignements et documents pertinents.</w:t>
      </w:r>
    </w:p>
    <w:p w14:paraId="11A893D2" w14:textId="77777777" w:rsidR="00F032B2" w:rsidRPr="002103AE" w:rsidRDefault="00F032B2" w:rsidP="005D5F1C">
      <w:pPr>
        <w:spacing w:before="120"/>
        <w:rPr>
          <w:i/>
          <w:iCs/>
          <w:lang w:val="fr-FR"/>
        </w:rPr>
      </w:pPr>
      <w:r w:rsidRPr="00F032B2">
        <w:rPr>
          <w:i/>
          <w:iCs/>
          <w:lang w:val="fr-FR"/>
        </w:rPr>
        <w:t xml:space="preserve">La CMR-23 charge le Comité de faire figurer la confirmation ci-dessus dans les Règles de procédure relatives à la prorogation du délai réglementaire applicable à la mise en service des assignations de fréquence à un </w:t>
      </w:r>
      <w:proofErr w:type="gramStart"/>
      <w:r w:rsidRPr="00F032B2">
        <w:rPr>
          <w:i/>
          <w:iCs/>
          <w:lang w:val="fr-FR"/>
        </w:rPr>
        <w:t>satellite»</w:t>
      </w:r>
      <w:proofErr w:type="gramEnd"/>
      <w:r>
        <w:rPr>
          <w:i/>
          <w:iCs/>
          <w:lang w:val="fr-FR"/>
        </w:rPr>
        <w:t>.</w:t>
      </w:r>
    </w:p>
    <w:p w14:paraId="1696C27C" w14:textId="002F7DAA" w:rsidR="00304A93" w:rsidRDefault="00B63DC3" w:rsidP="00221637">
      <w:pPr>
        <w:spacing w:before="40"/>
        <w:jc w:val="center"/>
      </w:pPr>
      <w:r w:rsidRPr="0069500F">
        <w:t>___________________</w:t>
      </w:r>
    </w:p>
    <w:sectPr w:rsidR="00304A93" w:rsidSect="00633320">
      <w:headerReference w:type="even" r:id="rId10"/>
      <w:headerReference w:type="default" r:id="rId11"/>
      <w:footnotePr>
        <w:pos w:val="beneathText"/>
      </w:footnotePr>
      <w:pgSz w:w="11907" w:h="16840" w:code="9"/>
      <w:pgMar w:top="1701" w:right="851" w:bottom="1134" w:left="1985" w:header="68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AEB02" w14:textId="77777777" w:rsidR="0018347A" w:rsidRDefault="0018347A">
      <w:r>
        <w:separator/>
      </w:r>
    </w:p>
  </w:endnote>
  <w:endnote w:type="continuationSeparator" w:id="0">
    <w:p w14:paraId="4825E6B7" w14:textId="77777777" w:rsidR="0018347A" w:rsidRDefault="0018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Italic">
    <w:panose1 w:val="02020503050405090304"/>
    <w:charset w:val="00"/>
    <w:family w:val="auto"/>
    <w:pitch w:val="default"/>
    <w:sig w:usb0="E0000AFF" w:usb1="00007843" w:usb2="00000001" w:usb3="00000000" w:csb0="400001BF" w:csb1="DFF7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24E46" w14:textId="77777777" w:rsidR="0018347A" w:rsidRDefault="0018347A">
      <w:r>
        <w:rPr>
          <w:b/>
        </w:rPr>
        <w:t>_______________</w:t>
      </w:r>
    </w:p>
  </w:footnote>
  <w:footnote w:type="continuationSeparator" w:id="0">
    <w:p w14:paraId="41D2307C" w14:textId="77777777" w:rsidR="0018347A" w:rsidRDefault="00183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3005"/>
      <w:gridCol w:w="1701"/>
      <w:gridCol w:w="1701"/>
    </w:tblGrid>
    <w:tr w:rsidR="009B6C5F" w14:paraId="5BB35672" w14:textId="77777777" w:rsidTr="009B6C5F">
      <w:trPr>
        <w:cantSplit/>
      </w:trPr>
      <w:tc>
        <w:tcPr>
          <w:tcW w:w="1701" w:type="dxa"/>
          <w:tcBorders>
            <w:top w:val="single" w:sz="6" w:space="0" w:color="auto"/>
            <w:left w:val="single" w:sz="6" w:space="0" w:color="auto"/>
            <w:bottom w:val="single" w:sz="6" w:space="0" w:color="auto"/>
            <w:right w:val="single" w:sz="6" w:space="0" w:color="auto"/>
          </w:tcBorders>
        </w:tcPr>
        <w:p w14:paraId="36F03FF0" w14:textId="291AFA95" w:rsidR="009B6C5F" w:rsidRPr="009B6C5F" w:rsidRDefault="009B6C5F" w:rsidP="009B6C5F">
          <w:pPr>
            <w:pStyle w:val="HeaderRegProc"/>
            <w:ind w:right="360" w:firstLine="287"/>
            <w:jc w:val="center"/>
            <w:rPr>
              <w:spacing w:val="-6"/>
            </w:rPr>
          </w:pPr>
          <w:proofErr w:type="spellStart"/>
          <w:r w:rsidRPr="009B6C5F">
            <w:rPr>
              <w:spacing w:val="-6"/>
            </w:rPr>
            <w:t>Partie</w:t>
          </w:r>
          <w:proofErr w:type="spellEnd"/>
          <w:r w:rsidRPr="009B6C5F">
            <w:rPr>
              <w:spacing w:val="-6"/>
            </w:rPr>
            <w:t xml:space="preserve"> A1</w:t>
          </w:r>
        </w:p>
      </w:tc>
      <w:tc>
        <w:tcPr>
          <w:tcW w:w="3005" w:type="dxa"/>
          <w:tcBorders>
            <w:top w:val="single" w:sz="6" w:space="0" w:color="auto"/>
            <w:left w:val="single" w:sz="6" w:space="0" w:color="auto"/>
            <w:bottom w:val="single" w:sz="6" w:space="0" w:color="auto"/>
            <w:right w:val="single" w:sz="6" w:space="0" w:color="auto"/>
          </w:tcBorders>
        </w:tcPr>
        <w:p w14:paraId="39D19BE6" w14:textId="77777777" w:rsidR="009B6C5F" w:rsidRPr="009B6C5F" w:rsidRDefault="009B6C5F" w:rsidP="009B6C5F">
          <w:pPr>
            <w:pStyle w:val="HeaderRegProc"/>
            <w:ind w:left="0"/>
            <w:jc w:val="center"/>
            <w:rPr>
              <w:spacing w:val="-10"/>
            </w:rPr>
          </w:pPr>
          <w:proofErr w:type="spellStart"/>
          <w:r w:rsidRPr="009B6C5F">
            <w:rPr>
              <w:spacing w:val="-10"/>
            </w:rPr>
            <w:t>Prorogation</w:t>
          </w:r>
          <w:proofErr w:type="spellEnd"/>
          <w:r w:rsidRPr="009B6C5F">
            <w:rPr>
              <w:spacing w:val="-10"/>
            </w:rPr>
            <w:t xml:space="preserve"> du </w:t>
          </w:r>
          <w:proofErr w:type="spellStart"/>
          <w:r w:rsidRPr="009B6C5F">
            <w:rPr>
              <w:spacing w:val="-10"/>
            </w:rPr>
            <w:t>délai</w:t>
          </w:r>
          <w:proofErr w:type="spellEnd"/>
          <w:r w:rsidRPr="009B6C5F">
            <w:rPr>
              <w:spacing w:val="-10"/>
            </w:rPr>
            <w:t xml:space="preserve"> </w:t>
          </w:r>
          <w:proofErr w:type="spellStart"/>
          <w:r w:rsidRPr="009B6C5F">
            <w:rPr>
              <w:spacing w:val="-10"/>
            </w:rPr>
            <w:t>réglementaire</w:t>
          </w:r>
          <w:proofErr w:type="spellEnd"/>
        </w:p>
      </w:tc>
      <w:tc>
        <w:tcPr>
          <w:tcW w:w="1701" w:type="dxa"/>
          <w:tcBorders>
            <w:top w:val="single" w:sz="6" w:space="0" w:color="auto"/>
            <w:left w:val="single" w:sz="6" w:space="0" w:color="auto"/>
            <w:bottom w:val="single" w:sz="6" w:space="0" w:color="auto"/>
            <w:right w:val="single" w:sz="6" w:space="0" w:color="auto"/>
          </w:tcBorders>
        </w:tcPr>
        <w:p w14:paraId="3956ABDC" w14:textId="77777777" w:rsidR="009B6C5F" w:rsidRDefault="009B6C5F" w:rsidP="009B6C5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0BE093" w14:textId="3BFB2F74" w:rsidR="009B6C5F" w:rsidRDefault="009B6C5F" w:rsidP="009B6C5F">
          <w:pPr>
            <w:pStyle w:val="HeaderRegProc"/>
            <w:rPr>
              <w:lang w:val="fr-CH"/>
            </w:rPr>
          </w:pPr>
          <w:proofErr w:type="gramStart"/>
          <w:r>
            <w:rPr>
              <w:lang w:val="fr-CH"/>
            </w:rPr>
            <w:t>rév</w:t>
          </w:r>
          <w:proofErr w:type="gramEnd"/>
          <w:r>
            <w:rPr>
              <w:lang w:val="fr-CH"/>
            </w:rPr>
            <w:t>.</w:t>
          </w:r>
          <w:r>
            <w:t xml:space="preserve"> </w:t>
          </w:r>
          <w:r w:rsidR="00D3701A">
            <w:t>-</w:t>
          </w:r>
        </w:p>
      </w:tc>
    </w:tr>
  </w:tbl>
  <w:p w14:paraId="62AD1A5C" w14:textId="77777777" w:rsidR="009B6C5F" w:rsidRDefault="009B6C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3005"/>
      <w:gridCol w:w="1701"/>
      <w:gridCol w:w="1701"/>
    </w:tblGrid>
    <w:tr w:rsidR="00A61CD6" w14:paraId="3B922FC0" w14:textId="77777777" w:rsidTr="009B6C5F">
      <w:trPr>
        <w:cantSplit/>
        <w:jc w:val="right"/>
      </w:trPr>
      <w:tc>
        <w:tcPr>
          <w:tcW w:w="1701" w:type="dxa"/>
          <w:tcBorders>
            <w:top w:val="single" w:sz="6" w:space="0" w:color="auto"/>
            <w:left w:val="single" w:sz="6" w:space="0" w:color="auto"/>
            <w:bottom w:val="single" w:sz="6" w:space="0" w:color="auto"/>
            <w:right w:val="single" w:sz="6" w:space="0" w:color="auto"/>
          </w:tcBorders>
        </w:tcPr>
        <w:p w14:paraId="7487DAE1" w14:textId="6527209C" w:rsidR="00A61CD6" w:rsidRPr="009B6C5F" w:rsidRDefault="00A61CD6" w:rsidP="009B6C5F">
          <w:pPr>
            <w:pStyle w:val="HeaderRegProc"/>
            <w:ind w:right="360" w:firstLine="287"/>
            <w:jc w:val="center"/>
            <w:rPr>
              <w:spacing w:val="-6"/>
            </w:rPr>
          </w:pPr>
          <w:proofErr w:type="spellStart"/>
          <w:r w:rsidRPr="009B6C5F">
            <w:rPr>
              <w:spacing w:val="-6"/>
            </w:rPr>
            <w:t>Part</w:t>
          </w:r>
          <w:r w:rsidR="000A1930" w:rsidRPr="009B6C5F">
            <w:rPr>
              <w:spacing w:val="-6"/>
            </w:rPr>
            <w:t>ie</w:t>
          </w:r>
          <w:proofErr w:type="spellEnd"/>
          <w:r w:rsidRPr="009B6C5F">
            <w:rPr>
              <w:spacing w:val="-6"/>
            </w:rPr>
            <w:t xml:space="preserve"> A1</w:t>
          </w:r>
        </w:p>
      </w:tc>
      <w:tc>
        <w:tcPr>
          <w:tcW w:w="3005" w:type="dxa"/>
          <w:tcBorders>
            <w:top w:val="single" w:sz="6" w:space="0" w:color="auto"/>
            <w:left w:val="single" w:sz="6" w:space="0" w:color="auto"/>
            <w:bottom w:val="single" w:sz="6" w:space="0" w:color="auto"/>
            <w:right w:val="single" w:sz="6" w:space="0" w:color="auto"/>
          </w:tcBorders>
        </w:tcPr>
        <w:p w14:paraId="1AE4D869" w14:textId="40B79723" w:rsidR="00A61CD6" w:rsidRPr="009B6C5F" w:rsidRDefault="009B6C5F" w:rsidP="009B6C5F">
          <w:pPr>
            <w:pStyle w:val="HeaderRegProc"/>
            <w:ind w:left="0"/>
            <w:jc w:val="center"/>
            <w:rPr>
              <w:spacing w:val="-10"/>
            </w:rPr>
          </w:pPr>
          <w:proofErr w:type="spellStart"/>
          <w:r w:rsidRPr="009B6C5F">
            <w:rPr>
              <w:spacing w:val="-10"/>
            </w:rPr>
            <w:t>Prorogation</w:t>
          </w:r>
          <w:proofErr w:type="spellEnd"/>
          <w:r w:rsidRPr="009B6C5F">
            <w:rPr>
              <w:spacing w:val="-10"/>
            </w:rPr>
            <w:t xml:space="preserve"> du </w:t>
          </w:r>
          <w:proofErr w:type="spellStart"/>
          <w:r w:rsidRPr="009B6C5F">
            <w:rPr>
              <w:spacing w:val="-10"/>
            </w:rPr>
            <w:t>délai</w:t>
          </w:r>
          <w:proofErr w:type="spellEnd"/>
          <w:r w:rsidRPr="009B6C5F">
            <w:rPr>
              <w:spacing w:val="-10"/>
            </w:rPr>
            <w:t xml:space="preserve"> </w:t>
          </w:r>
          <w:proofErr w:type="spellStart"/>
          <w:r w:rsidRPr="009B6C5F">
            <w:rPr>
              <w:spacing w:val="-10"/>
            </w:rPr>
            <w:t>réglementaire</w:t>
          </w:r>
          <w:proofErr w:type="spellEnd"/>
        </w:p>
      </w:tc>
      <w:tc>
        <w:tcPr>
          <w:tcW w:w="1701" w:type="dxa"/>
          <w:tcBorders>
            <w:top w:val="single" w:sz="6" w:space="0" w:color="auto"/>
            <w:left w:val="single" w:sz="6" w:space="0" w:color="auto"/>
            <w:bottom w:val="single" w:sz="6" w:space="0" w:color="auto"/>
            <w:right w:val="single" w:sz="6" w:space="0" w:color="auto"/>
          </w:tcBorders>
        </w:tcPr>
        <w:p w14:paraId="584EF28F" w14:textId="77777777" w:rsidR="00A61CD6" w:rsidRDefault="00A61CD6" w:rsidP="00A61CD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BC3D8D" w14:textId="3DD6203E" w:rsidR="00A61CD6" w:rsidRDefault="00A61CD6" w:rsidP="00A61CD6">
          <w:pPr>
            <w:pStyle w:val="HeaderRegProc"/>
            <w:rPr>
              <w:lang w:val="fr-CH"/>
            </w:rPr>
          </w:pPr>
          <w:proofErr w:type="gramStart"/>
          <w:r>
            <w:rPr>
              <w:lang w:val="fr-CH"/>
            </w:rPr>
            <w:t>r</w:t>
          </w:r>
          <w:r w:rsidR="000A1930">
            <w:rPr>
              <w:lang w:val="fr-CH"/>
            </w:rPr>
            <w:t>é</w:t>
          </w:r>
          <w:r>
            <w:rPr>
              <w:lang w:val="fr-CH"/>
            </w:rPr>
            <w:t>v</w:t>
          </w:r>
          <w:proofErr w:type="gramEnd"/>
          <w:r>
            <w:rPr>
              <w:lang w:val="fr-CH"/>
            </w:rPr>
            <w:t>.</w:t>
          </w:r>
          <w:r>
            <w:t xml:space="preserve"> </w:t>
          </w:r>
          <w:r w:rsidR="00D3701A">
            <w:t>-</w:t>
          </w:r>
        </w:p>
      </w:tc>
    </w:tr>
  </w:tbl>
  <w:p w14:paraId="3368979A" w14:textId="77777777" w:rsidR="001572A9" w:rsidRPr="0023544A" w:rsidRDefault="001572A9" w:rsidP="00633320">
    <w:pPr>
      <w:pStyle w:val="Heade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131E4"/>
    <w:multiLevelType w:val="hybridMultilevel"/>
    <w:tmpl w:val="325698C6"/>
    <w:lvl w:ilvl="0" w:tplc="738EB2CC">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8529347">
    <w:abstractNumId w:val="1"/>
  </w:num>
  <w:num w:numId="2" w16cid:durableId="1310135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5BD1"/>
    <w:rsid w:val="00010EB5"/>
    <w:rsid w:val="00016F65"/>
    <w:rsid w:val="0002490E"/>
    <w:rsid w:val="00042823"/>
    <w:rsid w:val="00051837"/>
    <w:rsid w:val="000659D3"/>
    <w:rsid w:val="00073358"/>
    <w:rsid w:val="00081CA0"/>
    <w:rsid w:val="000A1930"/>
    <w:rsid w:val="000A2CD9"/>
    <w:rsid w:val="000A64E4"/>
    <w:rsid w:val="000B4AC9"/>
    <w:rsid w:val="000D4791"/>
    <w:rsid w:val="00105BC1"/>
    <w:rsid w:val="00121953"/>
    <w:rsid w:val="00155795"/>
    <w:rsid w:val="0015592B"/>
    <w:rsid w:val="001572A9"/>
    <w:rsid w:val="0016133F"/>
    <w:rsid w:val="00172FC3"/>
    <w:rsid w:val="0018347A"/>
    <w:rsid w:val="001905D9"/>
    <w:rsid w:val="00195B3F"/>
    <w:rsid w:val="001A3CF5"/>
    <w:rsid w:val="001C15B5"/>
    <w:rsid w:val="001C5231"/>
    <w:rsid w:val="001F4AA8"/>
    <w:rsid w:val="00221637"/>
    <w:rsid w:val="00232FB0"/>
    <w:rsid w:val="0023544A"/>
    <w:rsid w:val="002652A5"/>
    <w:rsid w:val="002A2AAD"/>
    <w:rsid w:val="00304A93"/>
    <w:rsid w:val="003106BC"/>
    <w:rsid w:val="0035319D"/>
    <w:rsid w:val="00362EDF"/>
    <w:rsid w:val="003640DF"/>
    <w:rsid w:val="00365224"/>
    <w:rsid w:val="00393AE5"/>
    <w:rsid w:val="00393D1B"/>
    <w:rsid w:val="003D115E"/>
    <w:rsid w:val="003D3CBB"/>
    <w:rsid w:val="003F052E"/>
    <w:rsid w:val="00413951"/>
    <w:rsid w:val="00415437"/>
    <w:rsid w:val="004468F6"/>
    <w:rsid w:val="004623C8"/>
    <w:rsid w:val="00496185"/>
    <w:rsid w:val="0049691A"/>
    <w:rsid w:val="00496976"/>
    <w:rsid w:val="004A2559"/>
    <w:rsid w:val="004A29C9"/>
    <w:rsid w:val="004B0823"/>
    <w:rsid w:val="004C0641"/>
    <w:rsid w:val="004C2CD2"/>
    <w:rsid w:val="005034D7"/>
    <w:rsid w:val="00532D1F"/>
    <w:rsid w:val="00533768"/>
    <w:rsid w:val="00552DA9"/>
    <w:rsid w:val="00554361"/>
    <w:rsid w:val="00572EA0"/>
    <w:rsid w:val="00573907"/>
    <w:rsid w:val="00574DA9"/>
    <w:rsid w:val="00587117"/>
    <w:rsid w:val="00593162"/>
    <w:rsid w:val="005A0B81"/>
    <w:rsid w:val="005A1312"/>
    <w:rsid w:val="005A5B24"/>
    <w:rsid w:val="005A6A45"/>
    <w:rsid w:val="005A7374"/>
    <w:rsid w:val="005B5554"/>
    <w:rsid w:val="005C1258"/>
    <w:rsid w:val="005D5F1C"/>
    <w:rsid w:val="005D64FA"/>
    <w:rsid w:val="005F52EB"/>
    <w:rsid w:val="006137A9"/>
    <w:rsid w:val="00633320"/>
    <w:rsid w:val="0065495A"/>
    <w:rsid w:val="00662E1B"/>
    <w:rsid w:val="00666193"/>
    <w:rsid w:val="0069500F"/>
    <w:rsid w:val="006A5B96"/>
    <w:rsid w:val="006B0BD6"/>
    <w:rsid w:val="006C4168"/>
    <w:rsid w:val="006F2FFC"/>
    <w:rsid w:val="006F5691"/>
    <w:rsid w:val="006F7B86"/>
    <w:rsid w:val="00705BD1"/>
    <w:rsid w:val="007062FD"/>
    <w:rsid w:val="0073371B"/>
    <w:rsid w:val="00761872"/>
    <w:rsid w:val="00784E3E"/>
    <w:rsid w:val="0081713E"/>
    <w:rsid w:val="00817A56"/>
    <w:rsid w:val="008919D9"/>
    <w:rsid w:val="008B2CEF"/>
    <w:rsid w:val="008D5D08"/>
    <w:rsid w:val="008E33F8"/>
    <w:rsid w:val="008F0A0E"/>
    <w:rsid w:val="00914EF4"/>
    <w:rsid w:val="009402A0"/>
    <w:rsid w:val="00961CAA"/>
    <w:rsid w:val="00963257"/>
    <w:rsid w:val="00966BEF"/>
    <w:rsid w:val="00976694"/>
    <w:rsid w:val="009804BA"/>
    <w:rsid w:val="009A0CF6"/>
    <w:rsid w:val="009B6C5F"/>
    <w:rsid w:val="009E4EA7"/>
    <w:rsid w:val="009E7087"/>
    <w:rsid w:val="009F3505"/>
    <w:rsid w:val="00A244E7"/>
    <w:rsid w:val="00A2787A"/>
    <w:rsid w:val="00A44FD1"/>
    <w:rsid w:val="00A61CD6"/>
    <w:rsid w:val="00A83C2C"/>
    <w:rsid w:val="00A96676"/>
    <w:rsid w:val="00AA32A2"/>
    <w:rsid w:val="00AB1062"/>
    <w:rsid w:val="00AB4677"/>
    <w:rsid w:val="00AE5055"/>
    <w:rsid w:val="00AF649D"/>
    <w:rsid w:val="00B05101"/>
    <w:rsid w:val="00B27A40"/>
    <w:rsid w:val="00B34F42"/>
    <w:rsid w:val="00B609A2"/>
    <w:rsid w:val="00B63DC3"/>
    <w:rsid w:val="00BA4048"/>
    <w:rsid w:val="00BE472D"/>
    <w:rsid w:val="00BF29F7"/>
    <w:rsid w:val="00BF4C5E"/>
    <w:rsid w:val="00C22DB3"/>
    <w:rsid w:val="00C43873"/>
    <w:rsid w:val="00C535A6"/>
    <w:rsid w:val="00C77365"/>
    <w:rsid w:val="00C82C70"/>
    <w:rsid w:val="00C94CCD"/>
    <w:rsid w:val="00CA3D79"/>
    <w:rsid w:val="00CB38E1"/>
    <w:rsid w:val="00CB72FC"/>
    <w:rsid w:val="00CC13B6"/>
    <w:rsid w:val="00CD0511"/>
    <w:rsid w:val="00CD423D"/>
    <w:rsid w:val="00D130EF"/>
    <w:rsid w:val="00D23E43"/>
    <w:rsid w:val="00D3701A"/>
    <w:rsid w:val="00D41FDB"/>
    <w:rsid w:val="00D700DC"/>
    <w:rsid w:val="00D84FDC"/>
    <w:rsid w:val="00D905BB"/>
    <w:rsid w:val="00D95169"/>
    <w:rsid w:val="00D975F5"/>
    <w:rsid w:val="00DA1E26"/>
    <w:rsid w:val="00DC6BD3"/>
    <w:rsid w:val="00DF0E47"/>
    <w:rsid w:val="00DF160E"/>
    <w:rsid w:val="00DF1968"/>
    <w:rsid w:val="00E0742F"/>
    <w:rsid w:val="00E1111E"/>
    <w:rsid w:val="00E4410A"/>
    <w:rsid w:val="00E62A47"/>
    <w:rsid w:val="00E720BB"/>
    <w:rsid w:val="00E82821"/>
    <w:rsid w:val="00E844FD"/>
    <w:rsid w:val="00E85582"/>
    <w:rsid w:val="00EA3B45"/>
    <w:rsid w:val="00EB1CEC"/>
    <w:rsid w:val="00ED3D51"/>
    <w:rsid w:val="00ED6EF7"/>
    <w:rsid w:val="00EE2D54"/>
    <w:rsid w:val="00F032B2"/>
    <w:rsid w:val="00F327DA"/>
    <w:rsid w:val="00F51205"/>
    <w:rsid w:val="00F54ABD"/>
    <w:rsid w:val="00F60C74"/>
    <w:rsid w:val="00F857B2"/>
    <w:rsid w:val="00F878DB"/>
    <w:rsid w:val="00FA6B97"/>
    <w:rsid w:val="00FA799D"/>
    <w:rsid w:val="00FE3E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3E577D"/>
  <w15:docId w15:val="{E1EE19B8-37CA-435E-8184-99EB2FA5A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B24"/>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16133F"/>
    <w:rPr>
      <w:position w:val="6"/>
      <w:sz w:val="16"/>
    </w:rPr>
  </w:style>
  <w:style w:type="paragraph" w:styleId="FootnoteText">
    <w:name w:val="footnote text"/>
    <w:basedOn w:val="Normal"/>
    <w:link w:val="FootnoteTextChar"/>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 w:type="paragraph" w:customStyle="1" w:styleId="Equationlegend0">
    <w:name w:val="Equation_legend"/>
    <w:basedOn w:val="Normal"/>
    <w:rsid w:val="005A5B24"/>
    <w:pPr>
      <w:tabs>
        <w:tab w:val="clear" w:pos="1134"/>
        <w:tab w:val="clear" w:pos="1871"/>
        <w:tab w:val="clear" w:pos="2268"/>
        <w:tab w:val="right" w:pos="1814"/>
        <w:tab w:val="left" w:pos="1985"/>
      </w:tabs>
      <w:spacing w:before="80"/>
      <w:ind w:left="1985" w:hanging="1985"/>
    </w:pPr>
  </w:style>
  <w:style w:type="character" w:customStyle="1" w:styleId="enumlev1Char">
    <w:name w:val="enumlev1 Char"/>
    <w:basedOn w:val="DefaultParagraphFont"/>
    <w:link w:val="enumlev1"/>
    <w:rsid w:val="000A1930"/>
    <w:rPr>
      <w:sz w:val="24"/>
      <w:lang w:val="en-GB" w:eastAsia="en-US"/>
    </w:rPr>
  </w:style>
  <w:style w:type="character" w:styleId="Hyperlink">
    <w:name w:val="Hyperlink"/>
    <w:basedOn w:val="DefaultParagraphFont"/>
    <w:unhideWhenUsed/>
    <w:rsid w:val="00D3701A"/>
    <w:rPr>
      <w:color w:val="0000FF" w:themeColor="hyperlink"/>
      <w:u w:val="single"/>
    </w:rPr>
  </w:style>
  <w:style w:type="character" w:customStyle="1" w:styleId="ListParagraphChar">
    <w:name w:val="List Paragraph Char"/>
    <w:basedOn w:val="DefaultParagraphFont"/>
    <w:link w:val="ListParagraph"/>
    <w:uiPriority w:val="34"/>
    <w:locked/>
    <w:rsid w:val="00D3701A"/>
    <w:rPr>
      <w:rFonts w:asciiTheme="minorHAnsi" w:eastAsiaTheme="minorEastAsia" w:hAnsiTheme="minorHAnsi" w:cstheme="minorBidi"/>
      <w:sz w:val="22"/>
      <w:szCs w:val="22"/>
    </w:rPr>
  </w:style>
  <w:style w:type="paragraph" w:styleId="ListParagraph">
    <w:name w:val="List Paragraph"/>
    <w:basedOn w:val="Normal"/>
    <w:link w:val="ListParagraphChar"/>
    <w:uiPriority w:val="34"/>
    <w:qFormat/>
    <w:rsid w:val="00D3701A"/>
    <w:pPr>
      <w:tabs>
        <w:tab w:val="clear" w:pos="1134"/>
        <w:tab w:val="clear" w:pos="1871"/>
        <w:tab w:val="clear" w:pos="2268"/>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23-WRC23-C-0528/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tu.int/md/R23-WRC23-C-0528/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1C65-7E9F-47B7-9DA5-1424F69B4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221</TotalTime>
  <Pages>3</Pages>
  <Words>1392</Words>
  <Characters>8899</Characters>
  <Application>Microsoft Office Word</Application>
  <DocSecurity>0</DocSecurity>
  <Lines>141</Lines>
  <Paragraphs>43</Paragraphs>
  <ScaleCrop>false</ScaleCrop>
  <HeadingPairs>
    <vt:vector size="2" baseType="variant">
      <vt:variant>
        <vt:lpstr>Title</vt:lpstr>
      </vt:variant>
      <vt:variant>
        <vt:i4>1</vt:i4>
      </vt:variant>
    </vt:vector>
  </HeadingPairs>
  <TitlesOfParts>
    <vt:vector size="1" baseType="lpstr">
      <vt:lpstr>Règles relatives à la prorogation du délai réglementaire applicable à la mise en service d'assignations de fréquence à un satellite</vt:lpstr>
    </vt:vector>
  </TitlesOfParts>
  <Manager>CP--107223/DD</Manager>
  <Company>ITU</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Edition 2025</dc:title>
  <dc:subject>GE06 du RR</dc:subject>
  <dc:creator/>
  <cp:keywords/>
  <dc:description/>
  <cp:lastModifiedBy>Gachet, Christelle</cp:lastModifiedBy>
  <cp:revision>120</cp:revision>
  <cp:lastPrinted>2026-01-15T09:59:00Z</cp:lastPrinted>
  <dcterms:created xsi:type="dcterms:W3CDTF">2012-10-04T09:51:00Z</dcterms:created>
  <dcterms:modified xsi:type="dcterms:W3CDTF">2026-01-15T10:00:00Z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